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0B52D" w14:textId="4FB9A01F" w:rsidR="002E264F" w:rsidRPr="00627767" w:rsidRDefault="002E264F" w:rsidP="002E264F">
      <w:pPr>
        <w:widowControl w:val="0"/>
        <w:spacing w:line="360" w:lineRule="auto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LUGAR: </w:t>
      </w:r>
      <w:r w:rsidR="00627767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</w:t>
      </w:r>
      <w:r w:rsidR="004D681E" w:rsidRPr="004D681E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Ips Ingruma Salud Ltda.</w:t>
      </w:r>
    </w:p>
    <w:p w14:paraId="40092DCD" w14:textId="77777777" w:rsidR="002E264F" w:rsidRPr="002E264F" w:rsidRDefault="002E264F" w:rsidP="002E264F">
      <w:pPr>
        <w:widowControl w:val="0"/>
        <w:spacing w:line="360" w:lineRule="auto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</w:p>
    <w:p w14:paraId="29D36327" w14:textId="5C513891" w:rsidR="002E264F" w:rsidRPr="002E264F" w:rsidRDefault="002E264F" w:rsidP="002E264F">
      <w:pPr>
        <w:widowControl w:val="0"/>
        <w:spacing w:line="360" w:lineRule="auto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FECHA</w:t>
      </w:r>
    </w:p>
    <w:p w14:paraId="1084FF11" w14:textId="77777777" w:rsidR="002E264F" w:rsidRDefault="002E264F" w:rsidP="002E264F">
      <w:pPr>
        <w:widowControl w:val="0"/>
        <w:spacing w:line="360" w:lineRule="auto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</w:p>
    <w:p w14:paraId="1884E873" w14:textId="283450A0" w:rsidR="00C82012" w:rsidRPr="001C6647" w:rsidRDefault="00DC695E" w:rsidP="00C82012">
      <w:pPr>
        <w:widowControl w:val="0"/>
        <w:spacing w:line="360" w:lineRule="auto"/>
        <w:jc w:val="both"/>
        <w:rPr>
          <w:rFonts w:ascii="Arial" w:eastAsia="SimSun" w:hAnsi="Arial" w:cs="Arial"/>
          <w:bCs/>
          <w:lang w:eastAsia="hi-IN" w:bidi="hi-IN"/>
        </w:rPr>
      </w:pPr>
      <w:r w:rsidRPr="002E264F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>OBJETIVO GENERAL</w:t>
      </w:r>
      <w:r>
        <w:rPr>
          <w:rFonts w:ascii="Arial" w:eastAsia="SimSun" w:hAnsi="Arial" w:cs="Arial"/>
          <w:sz w:val="24"/>
          <w:szCs w:val="24"/>
          <w:lang w:val="es-CO" w:eastAsia="hi-IN" w:bidi="hi-IN"/>
        </w:rPr>
        <w:t>:</w:t>
      </w:r>
      <w:r w:rsidR="00FB7B76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</w:t>
      </w:r>
      <w:r w:rsidR="001C6647" w:rsidRPr="001C6647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Socializar con los usuarios y la comunidad el funcionamiento del buzón de PQRS durante la jornada de atención, explicando su uso, los tipos de solicitudes que se pueden presentar y el proceso de respuesta, con el fin de fortalecer la participación, la transparencia y la mejora continua del servicio de salud.</w:t>
      </w:r>
    </w:p>
    <w:p w14:paraId="48E77B27" w14:textId="77777777" w:rsidR="00DC695E" w:rsidRPr="002A71A5" w:rsidRDefault="00DC695E" w:rsidP="002E264F">
      <w:pPr>
        <w:widowControl w:val="0"/>
        <w:spacing w:line="360" w:lineRule="auto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769C25F2" w14:textId="77777777" w:rsidR="001C6647" w:rsidRPr="001C6647" w:rsidRDefault="002E264F" w:rsidP="001C6647">
      <w:pPr>
        <w:widowControl w:val="0"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TEMA</w:t>
      </w:r>
      <w:r w:rsidR="00DC695E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SESION </w:t>
      </w:r>
      <w:r w:rsidR="00C82012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1: </w:t>
      </w:r>
      <w:r w:rsidR="001C6647" w:rsidRPr="001C6647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Presentación del buzón de PQRS</w:t>
      </w:r>
    </w:p>
    <w:p w14:paraId="46E099F9" w14:textId="5F68A24F" w:rsidR="002A71A5" w:rsidRPr="001C6647" w:rsidRDefault="001C6647" w:rsidP="001C6647">
      <w:pPr>
        <w:widowControl w:val="0"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1C6647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Explicación sobre qué es el buzón de PQRS, su finalidad y la importancia de este mecanismo para la comunicación entre los usuarios y la institución.</w:t>
      </w:r>
    </w:p>
    <w:p w14:paraId="7D31DC12" w14:textId="77777777" w:rsidR="00C82012" w:rsidRDefault="00C82012" w:rsidP="00C82012">
      <w:pPr>
        <w:widowControl w:val="0"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</w:p>
    <w:p w14:paraId="7B01C8CE" w14:textId="77777777" w:rsidR="001C6647" w:rsidRPr="001C6647" w:rsidRDefault="00DC695E" w:rsidP="001C6647">
      <w:pPr>
        <w:widowControl w:val="0"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TEMA</w:t>
      </w:r>
      <w:r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SESION 2: </w:t>
      </w:r>
      <w:r w:rsidR="001C6647" w:rsidRPr="001C6647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Tipos de solicitudes que se pueden presentar</w:t>
      </w:r>
    </w:p>
    <w:p w14:paraId="5D2A6EB1" w14:textId="0E817A4E" w:rsidR="00DC695E" w:rsidRPr="001C6647" w:rsidRDefault="001C6647" w:rsidP="001C6647">
      <w:pPr>
        <w:widowControl w:val="0"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1C6647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Socialización de las diferentes opciones: quejas, peticiones, reclamos, sugerencias y felicitaciones, indicando ejemplos prácticos para facilitar su comprensión.</w:t>
      </w:r>
    </w:p>
    <w:p w14:paraId="7BA8806B" w14:textId="77777777" w:rsidR="00C82012" w:rsidRPr="00C82012" w:rsidRDefault="00C82012" w:rsidP="00C82012">
      <w:pPr>
        <w:widowControl w:val="0"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17CA1FA1" w14:textId="77777777" w:rsidR="001C6647" w:rsidRPr="001C6647" w:rsidRDefault="00DC695E" w:rsidP="001C6647">
      <w:pPr>
        <w:widowControl w:val="0"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TEMA</w:t>
      </w:r>
      <w:r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SESION 3: </w:t>
      </w:r>
      <w:r w:rsidR="001C6647" w:rsidRPr="001C6647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Derecho de los usuarios a presentar PQRS</w:t>
      </w:r>
    </w:p>
    <w:p w14:paraId="7C3841E8" w14:textId="402C2D25" w:rsidR="00627767" w:rsidRPr="001C6647" w:rsidRDefault="001C6647" w:rsidP="001C6647">
      <w:pPr>
        <w:widowControl w:val="0"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1C6647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Información sobre el derecho que tienen los usuarios de expresar inconformidades o reconocimientos frente a la atención recibida, sin represalias.</w:t>
      </w:r>
    </w:p>
    <w:p w14:paraId="374868DF" w14:textId="77777777" w:rsidR="002E264F" w:rsidRPr="002E264F" w:rsidRDefault="002E264F" w:rsidP="00EE44E8">
      <w:pPr>
        <w:widowControl w:val="0"/>
        <w:spacing w:line="360" w:lineRule="auto"/>
        <w:jc w:val="right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</w:p>
    <w:p w14:paraId="6FEBFC5D" w14:textId="13DC6160" w:rsidR="002E264F" w:rsidRDefault="002E264F" w:rsidP="002E264F">
      <w:pPr>
        <w:widowControl w:val="0"/>
        <w:spacing w:line="360" w:lineRule="auto"/>
        <w:jc w:val="both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 xml:space="preserve">DESARROLLO DE LA ACTIVIDAD: </w:t>
      </w:r>
      <w:r w:rsidR="00DC695E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 xml:space="preserve">anexar el paso a paso de la capacitación. </w:t>
      </w:r>
    </w:p>
    <w:p w14:paraId="2BE8E76C" w14:textId="77777777" w:rsidR="001C6647" w:rsidRPr="001C6647" w:rsidRDefault="001C6647" w:rsidP="001C6647">
      <w:pPr>
        <w:widowControl w:val="0"/>
        <w:spacing w:line="360" w:lineRule="auto"/>
        <w:jc w:val="both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1C6647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>Apertura de la jornada informativa</w:t>
      </w:r>
    </w:p>
    <w:p w14:paraId="2102DCFF" w14:textId="54B80D77" w:rsidR="001C6647" w:rsidRPr="001C6647" w:rsidRDefault="001C6647" w:rsidP="001C6647">
      <w:pPr>
        <w:widowControl w:val="0"/>
        <w:spacing w:line="360" w:lineRule="auto"/>
        <w:jc w:val="both"/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1C6647">
        <w:rPr>
          <w:rFonts w:ascii="Arial" w:eastAsia="SimSun" w:hAnsi="Arial" w:cs="Arial"/>
          <w:sz w:val="24"/>
          <w:szCs w:val="24"/>
          <w:lang w:val="es-CO" w:eastAsia="hi-IN" w:bidi="hi-IN"/>
        </w:rPr>
        <w:t xml:space="preserve">Se </w:t>
      </w:r>
      <w:r w:rsidRPr="001C6647">
        <w:rPr>
          <w:rFonts w:ascii="Arial" w:eastAsia="SimSun" w:hAnsi="Arial" w:cs="Arial"/>
          <w:sz w:val="24"/>
          <w:szCs w:val="24"/>
          <w:lang w:val="es-CO" w:eastAsia="hi-IN" w:bidi="hi-IN"/>
        </w:rPr>
        <w:t>inició</w:t>
      </w:r>
      <w:r w:rsidRPr="001C6647">
        <w:rPr>
          <w:rFonts w:ascii="Arial" w:eastAsia="SimSun" w:hAnsi="Arial" w:cs="Arial"/>
          <w:sz w:val="24"/>
          <w:szCs w:val="24"/>
          <w:lang w:val="es-CO" w:eastAsia="hi-IN" w:bidi="hi-IN"/>
        </w:rPr>
        <w:t xml:space="preserve"> la actividad en la sala de espera de la institución, dando la bienvenida a los usuarios presentes y explicando el objetivo de la jornada, orientado a socializar el funcionamiento del buzón de PQRS.</w:t>
      </w:r>
    </w:p>
    <w:p w14:paraId="05E4F669" w14:textId="77777777" w:rsidR="001C6647" w:rsidRPr="001C6647" w:rsidRDefault="001C6647" w:rsidP="001C6647">
      <w:pPr>
        <w:widowControl w:val="0"/>
        <w:spacing w:line="360" w:lineRule="auto"/>
        <w:jc w:val="both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</w:p>
    <w:p w14:paraId="3BCDD078" w14:textId="77777777" w:rsidR="001C6647" w:rsidRPr="001C6647" w:rsidRDefault="001C6647" w:rsidP="001C6647">
      <w:pPr>
        <w:widowControl w:val="0"/>
        <w:spacing w:line="360" w:lineRule="auto"/>
        <w:jc w:val="both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1C6647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>Contextualización de la actividad</w:t>
      </w:r>
    </w:p>
    <w:p w14:paraId="61C35984" w14:textId="77777777" w:rsidR="001C6647" w:rsidRPr="001C6647" w:rsidRDefault="001C6647" w:rsidP="001C6647">
      <w:pPr>
        <w:widowControl w:val="0"/>
        <w:spacing w:line="360" w:lineRule="auto"/>
        <w:jc w:val="both"/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1C6647">
        <w:rPr>
          <w:rFonts w:ascii="Arial" w:eastAsia="SimSun" w:hAnsi="Arial" w:cs="Arial"/>
          <w:sz w:val="24"/>
          <w:szCs w:val="24"/>
          <w:lang w:val="es-CO" w:eastAsia="hi-IN" w:bidi="hi-IN"/>
        </w:rPr>
        <w:t xml:space="preserve">Se explicó que la actividad se realiza como parte de las acciones de información y participación ciudadana, aprovechando el espacio de espera para brindar orientación clara </w:t>
      </w:r>
      <w:r w:rsidRPr="001C6647">
        <w:rPr>
          <w:rFonts w:ascii="Arial" w:eastAsia="SimSun" w:hAnsi="Arial" w:cs="Arial"/>
          <w:sz w:val="24"/>
          <w:szCs w:val="24"/>
          <w:lang w:val="es-CO" w:eastAsia="hi-IN" w:bidi="hi-IN"/>
        </w:rPr>
        <w:lastRenderedPageBreak/>
        <w:t>y oportuna a los usuarios.</w:t>
      </w:r>
    </w:p>
    <w:p w14:paraId="1E4E1990" w14:textId="77777777" w:rsidR="001C6647" w:rsidRPr="001C6647" w:rsidRDefault="001C6647" w:rsidP="001C6647">
      <w:pPr>
        <w:widowControl w:val="0"/>
        <w:spacing w:line="360" w:lineRule="auto"/>
        <w:jc w:val="both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</w:p>
    <w:p w14:paraId="35375F69" w14:textId="77777777" w:rsidR="001C6647" w:rsidRPr="001C6647" w:rsidRDefault="001C6647" w:rsidP="001C6647">
      <w:pPr>
        <w:widowControl w:val="0"/>
        <w:spacing w:line="360" w:lineRule="auto"/>
        <w:jc w:val="both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1C6647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>Presentación del buzón de PQRS</w:t>
      </w:r>
    </w:p>
    <w:p w14:paraId="28541E88" w14:textId="77777777" w:rsidR="001C6647" w:rsidRPr="001C6647" w:rsidRDefault="001C6647" w:rsidP="001C6647">
      <w:pPr>
        <w:widowControl w:val="0"/>
        <w:spacing w:line="360" w:lineRule="auto"/>
        <w:jc w:val="both"/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1C6647">
        <w:rPr>
          <w:rFonts w:ascii="Arial" w:eastAsia="SimSun" w:hAnsi="Arial" w:cs="Arial"/>
          <w:sz w:val="24"/>
          <w:szCs w:val="24"/>
          <w:lang w:val="es-CO" w:eastAsia="hi-IN" w:bidi="hi-IN"/>
        </w:rPr>
        <w:t>Se informó a los asistentes sobre la existencia del buzón de PQRS, su ubicación dentro de la institución y su función como mecanismo para presentar quejas, peticiones, reclamos, sugerencias y felicitaciones.</w:t>
      </w:r>
    </w:p>
    <w:p w14:paraId="3E2403A6" w14:textId="77777777" w:rsidR="001C6647" w:rsidRPr="001C6647" w:rsidRDefault="001C6647" w:rsidP="001C6647">
      <w:pPr>
        <w:widowControl w:val="0"/>
        <w:spacing w:line="360" w:lineRule="auto"/>
        <w:jc w:val="both"/>
        <w:rPr>
          <w:rFonts w:ascii="Arial" w:eastAsia="SimSun" w:hAnsi="Arial" w:cs="Arial"/>
          <w:sz w:val="24"/>
          <w:szCs w:val="24"/>
          <w:lang w:val="es-CO" w:eastAsia="hi-IN" w:bidi="hi-IN"/>
        </w:rPr>
      </w:pPr>
    </w:p>
    <w:p w14:paraId="06ACD2A5" w14:textId="77777777" w:rsidR="001C6647" w:rsidRPr="001C6647" w:rsidRDefault="001C6647" w:rsidP="001C6647">
      <w:pPr>
        <w:widowControl w:val="0"/>
        <w:spacing w:line="360" w:lineRule="auto"/>
        <w:jc w:val="both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1C6647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>Explicación de los tipos de solicitudes</w:t>
      </w:r>
    </w:p>
    <w:p w14:paraId="2F19C787" w14:textId="77777777" w:rsidR="001C6647" w:rsidRPr="001C6647" w:rsidRDefault="001C6647" w:rsidP="001C6647">
      <w:pPr>
        <w:widowControl w:val="0"/>
        <w:spacing w:line="360" w:lineRule="auto"/>
        <w:jc w:val="both"/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1C6647">
        <w:rPr>
          <w:rFonts w:ascii="Arial" w:eastAsia="SimSun" w:hAnsi="Arial" w:cs="Arial"/>
          <w:sz w:val="24"/>
          <w:szCs w:val="24"/>
          <w:lang w:val="es-CO" w:eastAsia="hi-IN" w:bidi="hi-IN"/>
        </w:rPr>
        <w:t>Se detalló cada tipo de comunicación que puede realizarse a través del buzón, brindando ejemplos sencillos para facilitar la comprensión por parte de los usuarios.</w:t>
      </w:r>
    </w:p>
    <w:p w14:paraId="0B0859BE" w14:textId="77777777" w:rsidR="001C6647" w:rsidRPr="001C6647" w:rsidRDefault="001C6647" w:rsidP="001C6647">
      <w:pPr>
        <w:widowControl w:val="0"/>
        <w:spacing w:line="360" w:lineRule="auto"/>
        <w:jc w:val="both"/>
        <w:rPr>
          <w:rFonts w:ascii="Arial" w:eastAsia="SimSun" w:hAnsi="Arial" w:cs="Arial"/>
          <w:sz w:val="24"/>
          <w:szCs w:val="24"/>
          <w:lang w:val="es-CO" w:eastAsia="hi-IN" w:bidi="hi-IN"/>
        </w:rPr>
      </w:pPr>
    </w:p>
    <w:p w14:paraId="5A677D60" w14:textId="77777777" w:rsidR="001C6647" w:rsidRPr="001C6647" w:rsidRDefault="001C6647" w:rsidP="001C6647">
      <w:pPr>
        <w:widowControl w:val="0"/>
        <w:spacing w:line="360" w:lineRule="auto"/>
        <w:jc w:val="both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1C6647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>Socialización de los derechos de los usuarios</w:t>
      </w:r>
    </w:p>
    <w:p w14:paraId="4F41C449" w14:textId="77777777" w:rsidR="001C6647" w:rsidRPr="001C6647" w:rsidRDefault="001C6647" w:rsidP="001C6647">
      <w:pPr>
        <w:widowControl w:val="0"/>
        <w:spacing w:line="360" w:lineRule="auto"/>
        <w:jc w:val="both"/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1C6647">
        <w:rPr>
          <w:rFonts w:ascii="Arial" w:eastAsia="SimSun" w:hAnsi="Arial" w:cs="Arial"/>
          <w:sz w:val="24"/>
          <w:szCs w:val="24"/>
          <w:lang w:val="es-CO" w:eastAsia="hi-IN" w:bidi="hi-IN"/>
        </w:rPr>
        <w:t>Se informó a los asistentes sobre su derecho a presentar PQRS de manera libre y sin represalias, como parte de sus derechos como usuarios del servicio de salud.</w:t>
      </w:r>
    </w:p>
    <w:p w14:paraId="2913FA64" w14:textId="77777777" w:rsidR="001C6647" w:rsidRPr="001C6647" w:rsidRDefault="001C6647" w:rsidP="001C6647">
      <w:pPr>
        <w:widowControl w:val="0"/>
        <w:spacing w:line="360" w:lineRule="auto"/>
        <w:jc w:val="both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</w:p>
    <w:p w14:paraId="7E7987F2" w14:textId="77777777" w:rsidR="001C6647" w:rsidRPr="001C6647" w:rsidRDefault="001C6647" w:rsidP="001C6647">
      <w:pPr>
        <w:widowControl w:val="0"/>
        <w:spacing w:line="360" w:lineRule="auto"/>
        <w:jc w:val="both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1C6647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>Orientación sobre el diligenciamiento del formato</w:t>
      </w:r>
    </w:p>
    <w:p w14:paraId="176142E8" w14:textId="77777777" w:rsidR="001C6647" w:rsidRPr="001C6647" w:rsidRDefault="001C6647" w:rsidP="001C6647">
      <w:pPr>
        <w:widowControl w:val="0"/>
        <w:spacing w:line="360" w:lineRule="auto"/>
        <w:jc w:val="both"/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1C6647">
        <w:rPr>
          <w:rFonts w:ascii="Arial" w:eastAsia="SimSun" w:hAnsi="Arial" w:cs="Arial"/>
          <w:sz w:val="24"/>
          <w:szCs w:val="24"/>
          <w:lang w:val="es-CO" w:eastAsia="hi-IN" w:bidi="hi-IN"/>
        </w:rPr>
        <w:t>Se explicó paso a paso cómo diligenciar correctamente el formato de PQRS, indicando la información básica requerida y la importancia de describir claramente la situación presentada.</w:t>
      </w:r>
    </w:p>
    <w:p w14:paraId="095078A7" w14:textId="77777777" w:rsidR="001C6647" w:rsidRPr="001C6647" w:rsidRDefault="001C6647" w:rsidP="001C6647">
      <w:pPr>
        <w:widowControl w:val="0"/>
        <w:spacing w:line="360" w:lineRule="auto"/>
        <w:jc w:val="both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</w:p>
    <w:p w14:paraId="6F31653F" w14:textId="77777777" w:rsidR="001C6647" w:rsidRPr="001C6647" w:rsidRDefault="001C6647" w:rsidP="001C6647">
      <w:pPr>
        <w:widowControl w:val="0"/>
        <w:spacing w:line="360" w:lineRule="auto"/>
        <w:jc w:val="both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1C6647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>Indicación del procedimiento para depositar la PQRS</w:t>
      </w:r>
    </w:p>
    <w:p w14:paraId="55062622" w14:textId="77777777" w:rsidR="001C6647" w:rsidRPr="001C6647" w:rsidRDefault="001C6647" w:rsidP="001C6647">
      <w:pPr>
        <w:widowControl w:val="0"/>
        <w:spacing w:line="360" w:lineRule="auto"/>
        <w:jc w:val="both"/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1C6647">
        <w:rPr>
          <w:rFonts w:ascii="Arial" w:eastAsia="SimSun" w:hAnsi="Arial" w:cs="Arial"/>
          <w:sz w:val="24"/>
          <w:szCs w:val="24"/>
          <w:lang w:val="es-CO" w:eastAsia="hi-IN" w:bidi="hi-IN"/>
        </w:rPr>
        <w:t>Se explicó el proceso para depositar el formato diligenciado en el buzón, garantizando la confidencialidad de la información suministrada.</w:t>
      </w:r>
    </w:p>
    <w:p w14:paraId="67F1D71E" w14:textId="77777777" w:rsidR="001C6647" w:rsidRPr="001C6647" w:rsidRDefault="001C6647" w:rsidP="001C6647">
      <w:pPr>
        <w:widowControl w:val="0"/>
        <w:spacing w:line="360" w:lineRule="auto"/>
        <w:jc w:val="both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</w:p>
    <w:p w14:paraId="43D681E6" w14:textId="77777777" w:rsidR="001C6647" w:rsidRPr="001C6647" w:rsidRDefault="001C6647" w:rsidP="001C6647">
      <w:pPr>
        <w:widowControl w:val="0"/>
        <w:spacing w:line="360" w:lineRule="auto"/>
        <w:jc w:val="both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1C6647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>Explicación del proceso interno de gestión</w:t>
      </w:r>
    </w:p>
    <w:p w14:paraId="174232E4" w14:textId="77777777" w:rsidR="001C6647" w:rsidRPr="001C6647" w:rsidRDefault="001C6647" w:rsidP="001C6647">
      <w:pPr>
        <w:widowControl w:val="0"/>
        <w:spacing w:line="360" w:lineRule="auto"/>
        <w:jc w:val="both"/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1C6647">
        <w:rPr>
          <w:rFonts w:ascii="Arial" w:eastAsia="SimSun" w:hAnsi="Arial" w:cs="Arial"/>
          <w:sz w:val="24"/>
          <w:szCs w:val="24"/>
          <w:lang w:val="es-CO" w:eastAsia="hi-IN" w:bidi="hi-IN"/>
        </w:rPr>
        <w:t>Se informó cómo la institución realiza la recolección, registro, clasificación y asignación de las PQRS a las áreas responsables para su respectivo análisis.</w:t>
      </w:r>
    </w:p>
    <w:p w14:paraId="61A7229A" w14:textId="77777777" w:rsidR="001C6647" w:rsidRPr="001C6647" w:rsidRDefault="001C6647" w:rsidP="001C6647">
      <w:pPr>
        <w:widowControl w:val="0"/>
        <w:spacing w:line="360" w:lineRule="auto"/>
        <w:jc w:val="both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</w:p>
    <w:p w14:paraId="63E75C9D" w14:textId="77777777" w:rsidR="001C6647" w:rsidRPr="001C6647" w:rsidRDefault="001C6647" w:rsidP="001C6647">
      <w:pPr>
        <w:widowControl w:val="0"/>
        <w:spacing w:line="360" w:lineRule="auto"/>
        <w:jc w:val="both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1C6647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>Socialización de los tiempos de respuesta</w:t>
      </w:r>
    </w:p>
    <w:p w14:paraId="3DD8D7BD" w14:textId="77777777" w:rsidR="001C6647" w:rsidRPr="001C6647" w:rsidRDefault="001C6647" w:rsidP="001C6647">
      <w:pPr>
        <w:widowControl w:val="0"/>
        <w:spacing w:line="360" w:lineRule="auto"/>
        <w:jc w:val="both"/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1C6647">
        <w:rPr>
          <w:rFonts w:ascii="Arial" w:eastAsia="SimSun" w:hAnsi="Arial" w:cs="Arial"/>
          <w:sz w:val="24"/>
          <w:szCs w:val="24"/>
          <w:lang w:val="es-CO" w:eastAsia="hi-IN" w:bidi="hi-IN"/>
        </w:rPr>
        <w:t xml:space="preserve">Se explicó que las PQRS son atendidas y respondidas en un plazo máximo de tres (3) días </w:t>
      </w:r>
      <w:r w:rsidRPr="001C6647">
        <w:rPr>
          <w:rFonts w:ascii="Arial" w:eastAsia="SimSun" w:hAnsi="Arial" w:cs="Arial"/>
          <w:sz w:val="24"/>
          <w:szCs w:val="24"/>
          <w:lang w:val="es-CO" w:eastAsia="hi-IN" w:bidi="hi-IN"/>
        </w:rPr>
        <w:lastRenderedPageBreak/>
        <w:t>hábiles, de acuerdo con los lineamientos institucionales.</w:t>
      </w:r>
    </w:p>
    <w:p w14:paraId="42D94C4B" w14:textId="77777777" w:rsidR="001C6647" w:rsidRPr="001C6647" w:rsidRDefault="001C6647" w:rsidP="001C6647">
      <w:pPr>
        <w:widowControl w:val="0"/>
        <w:spacing w:line="360" w:lineRule="auto"/>
        <w:jc w:val="both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</w:p>
    <w:p w14:paraId="2550C2E6" w14:textId="77777777" w:rsidR="001C6647" w:rsidRPr="001C6647" w:rsidRDefault="001C6647" w:rsidP="001C6647">
      <w:pPr>
        <w:widowControl w:val="0"/>
        <w:spacing w:line="360" w:lineRule="auto"/>
        <w:jc w:val="both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1C6647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>Seguimiento y comunicación de la respuesta</w:t>
      </w:r>
    </w:p>
    <w:p w14:paraId="2651A961" w14:textId="77777777" w:rsidR="001C6647" w:rsidRPr="001C6647" w:rsidRDefault="001C6647" w:rsidP="001C6647">
      <w:pPr>
        <w:widowControl w:val="0"/>
        <w:spacing w:line="360" w:lineRule="auto"/>
        <w:jc w:val="both"/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1C6647">
        <w:rPr>
          <w:rFonts w:ascii="Arial" w:eastAsia="SimSun" w:hAnsi="Arial" w:cs="Arial"/>
          <w:sz w:val="24"/>
          <w:szCs w:val="24"/>
          <w:lang w:val="es-CO" w:eastAsia="hi-IN" w:bidi="hi-IN"/>
        </w:rPr>
        <w:t>Se informó a los usuarios sobre la forma en que pueden conocer el estado de su solicitud y cómo reciben la respuesta por parte de la institución.</w:t>
      </w:r>
    </w:p>
    <w:p w14:paraId="25DBAE14" w14:textId="77777777" w:rsidR="001C6647" w:rsidRPr="001C6647" w:rsidRDefault="001C6647" w:rsidP="001C6647">
      <w:pPr>
        <w:widowControl w:val="0"/>
        <w:spacing w:line="360" w:lineRule="auto"/>
        <w:jc w:val="both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</w:p>
    <w:p w14:paraId="77B205CF" w14:textId="77777777" w:rsidR="001C6647" w:rsidRPr="001C6647" w:rsidRDefault="001C6647" w:rsidP="001C6647">
      <w:pPr>
        <w:widowControl w:val="0"/>
        <w:spacing w:line="360" w:lineRule="auto"/>
        <w:jc w:val="both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1C6647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>Espacio de preguntas y aclaraciones</w:t>
      </w:r>
    </w:p>
    <w:p w14:paraId="0395E085" w14:textId="77777777" w:rsidR="001C6647" w:rsidRPr="001C6647" w:rsidRDefault="001C6647" w:rsidP="001C6647">
      <w:pPr>
        <w:widowControl w:val="0"/>
        <w:spacing w:line="360" w:lineRule="auto"/>
        <w:jc w:val="both"/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1C6647">
        <w:rPr>
          <w:rFonts w:ascii="Arial" w:eastAsia="SimSun" w:hAnsi="Arial" w:cs="Arial"/>
          <w:sz w:val="24"/>
          <w:szCs w:val="24"/>
          <w:lang w:val="es-CO" w:eastAsia="hi-IN" w:bidi="hi-IN"/>
        </w:rPr>
        <w:t>Se habilitó un espacio para resolver inquietudes de los asistentes, reforzando la información brindada durante la jornada.</w:t>
      </w:r>
    </w:p>
    <w:p w14:paraId="27D30DC8" w14:textId="77777777" w:rsidR="001C6647" w:rsidRPr="001C6647" w:rsidRDefault="001C6647" w:rsidP="001C6647">
      <w:pPr>
        <w:widowControl w:val="0"/>
        <w:spacing w:line="360" w:lineRule="auto"/>
        <w:jc w:val="both"/>
        <w:rPr>
          <w:rFonts w:ascii="Arial" w:eastAsia="SimSun" w:hAnsi="Arial" w:cs="Arial"/>
          <w:sz w:val="24"/>
          <w:szCs w:val="24"/>
          <w:lang w:val="es-CO" w:eastAsia="hi-IN" w:bidi="hi-IN"/>
        </w:rPr>
      </w:pPr>
    </w:p>
    <w:p w14:paraId="66C485B9" w14:textId="77777777" w:rsidR="001C6647" w:rsidRPr="001C6647" w:rsidRDefault="001C6647" w:rsidP="001C6647">
      <w:pPr>
        <w:widowControl w:val="0"/>
        <w:spacing w:line="360" w:lineRule="auto"/>
        <w:jc w:val="both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1C6647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>Cierre de la actividad</w:t>
      </w:r>
    </w:p>
    <w:p w14:paraId="3C1A5F72" w14:textId="1C4B02C5" w:rsidR="001C6647" w:rsidRDefault="001C6647" w:rsidP="001C6647">
      <w:pPr>
        <w:widowControl w:val="0"/>
        <w:spacing w:line="360" w:lineRule="auto"/>
        <w:jc w:val="both"/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1C6647">
        <w:rPr>
          <w:rFonts w:ascii="Arial" w:eastAsia="SimSun" w:hAnsi="Arial" w:cs="Arial"/>
          <w:sz w:val="24"/>
          <w:szCs w:val="24"/>
          <w:lang w:val="es-CO" w:eastAsia="hi-IN" w:bidi="hi-IN"/>
        </w:rPr>
        <w:t>Se dio cierre a la actividad, agradeciendo la participación de los usuarios e invitándolos a hacer uso del buzón de PQRS como herramienta de participación y mejora del servicio.</w:t>
      </w:r>
    </w:p>
    <w:p w14:paraId="20523DC9" w14:textId="77777777" w:rsidR="001C6647" w:rsidRDefault="001C6647" w:rsidP="001C6647">
      <w:pPr>
        <w:widowControl w:val="0"/>
        <w:spacing w:line="360" w:lineRule="auto"/>
        <w:jc w:val="both"/>
        <w:rPr>
          <w:rFonts w:ascii="Arial" w:eastAsia="SimSun" w:hAnsi="Arial" w:cs="Arial"/>
          <w:sz w:val="24"/>
          <w:szCs w:val="24"/>
          <w:lang w:val="es-CO" w:eastAsia="hi-IN" w:bidi="hi-IN"/>
        </w:rPr>
      </w:pPr>
    </w:p>
    <w:p w14:paraId="71E4CCBE" w14:textId="2A82593B" w:rsidR="001C6647" w:rsidRPr="001C6647" w:rsidRDefault="001C6647" w:rsidP="001C6647">
      <w:pPr>
        <w:widowControl w:val="0"/>
        <w:spacing w:line="360" w:lineRule="auto"/>
        <w:jc w:val="both"/>
        <w:rPr>
          <w:rFonts w:ascii="Arial" w:eastAsia="SimSun" w:hAnsi="Arial" w:cs="Arial"/>
          <w:sz w:val="24"/>
          <w:szCs w:val="24"/>
          <w:lang w:val="es-CO" w:eastAsia="hi-IN" w:bidi="hi-IN"/>
        </w:rPr>
      </w:pPr>
      <w:r>
        <w:rPr>
          <w:rFonts w:ascii="Arial" w:eastAsia="SimSun" w:hAnsi="Arial" w:cs="Arial"/>
          <w:noProof/>
          <w:sz w:val="24"/>
          <w:szCs w:val="24"/>
          <w:lang w:val="es-CO" w:eastAsia="hi-IN" w:bidi="hi-IN"/>
        </w:rPr>
        <w:lastRenderedPageBreak/>
        <w:drawing>
          <wp:inline distT="0" distB="0" distL="0" distR="0" wp14:anchorId="65A60945" wp14:editId="1798AF1D">
            <wp:extent cx="6153150" cy="4615180"/>
            <wp:effectExtent l="0" t="0" r="0" b="0"/>
            <wp:docPr id="374026323" name="Imagen 1" descr="Un grupo de personas en un salón de clases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026323" name="Imagen 1" descr="Un grupo de personas en un salón de clases&#10;&#10;El contenido generado por IA puede ser incorrecto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3150" cy="4615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5031F0" w14:textId="77777777" w:rsidR="001C6647" w:rsidRDefault="001C6647" w:rsidP="004D681E">
      <w:pPr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</w:p>
    <w:p w14:paraId="110FE4DC" w14:textId="17B00F85" w:rsidR="004D681E" w:rsidRDefault="004D681E" w:rsidP="004D681E">
      <w:pPr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>RESPONSABLE (CARGO Y PROFESION):</w:t>
      </w:r>
    </w:p>
    <w:p w14:paraId="607ABCA8" w14:textId="72EB6A0E" w:rsidR="004D681E" w:rsidRPr="004D681E" w:rsidRDefault="004D681E" w:rsidP="004D681E">
      <w:pPr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4D681E">
        <w:rPr>
          <w:rFonts w:ascii="Arial" w:eastAsia="SimSun" w:hAnsi="Arial" w:cs="Arial"/>
          <w:sz w:val="24"/>
          <w:szCs w:val="24"/>
          <w:lang w:val="es-CO" w:eastAsia="hi-IN" w:bidi="hi-IN"/>
        </w:rPr>
        <w:t>Salome Henao Quintero</w:t>
      </w:r>
    </w:p>
    <w:p w14:paraId="480F5DE9" w14:textId="0FBCA2C9" w:rsidR="004D681E" w:rsidRPr="004D681E" w:rsidRDefault="004D681E" w:rsidP="004D681E">
      <w:pPr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4D681E">
        <w:rPr>
          <w:rFonts w:ascii="Arial" w:eastAsia="SimSun" w:hAnsi="Arial" w:cs="Arial"/>
          <w:sz w:val="24"/>
          <w:szCs w:val="24"/>
          <w:lang w:val="es-CO" w:eastAsia="hi-IN" w:bidi="hi-IN"/>
        </w:rPr>
        <w:t>Profesional en Mercadeo</w:t>
      </w:r>
    </w:p>
    <w:p w14:paraId="53F95A01" w14:textId="4B65D6C6" w:rsidR="004D681E" w:rsidRPr="004D681E" w:rsidRDefault="004D681E" w:rsidP="004D681E">
      <w:pPr>
        <w:rPr>
          <w:sz w:val="24"/>
          <w:szCs w:val="24"/>
        </w:rPr>
      </w:pPr>
      <w:r w:rsidRPr="004D681E">
        <w:rPr>
          <w:rFonts w:ascii="Arial" w:eastAsia="SimSun" w:hAnsi="Arial" w:cs="Arial"/>
          <w:sz w:val="24"/>
          <w:szCs w:val="24"/>
          <w:lang w:val="es-CO" w:eastAsia="hi-IN" w:bidi="hi-IN"/>
        </w:rPr>
        <w:t>Participación Social en Salud</w:t>
      </w:r>
    </w:p>
    <w:sectPr w:rsidR="004D681E" w:rsidRPr="004D681E" w:rsidSect="00DD610F">
      <w:headerReference w:type="even" r:id="rId8"/>
      <w:headerReference w:type="default" r:id="rId9"/>
      <w:footerReference w:type="default" r:id="rId10"/>
      <w:headerReference w:type="first" r:id="rId11"/>
      <w:pgSz w:w="12242" w:h="15842" w:code="1"/>
      <w:pgMar w:top="1134" w:right="1134" w:bottom="1134" w:left="1418" w:header="482" w:footer="28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4A513" w14:textId="77777777" w:rsidR="00F23227" w:rsidRDefault="00F23227" w:rsidP="00DD610F">
      <w:r>
        <w:separator/>
      </w:r>
    </w:p>
  </w:endnote>
  <w:endnote w:type="continuationSeparator" w:id="0">
    <w:p w14:paraId="7C054DBC" w14:textId="77777777" w:rsidR="00F23227" w:rsidRDefault="00F23227" w:rsidP="00DD6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113277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979757C" w14:textId="48779472" w:rsidR="002E264F" w:rsidRDefault="002E264F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83BE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83BE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CD615D4" w14:textId="6E659106" w:rsidR="002E264F" w:rsidRPr="002E264F" w:rsidRDefault="002E264F">
    <w:pPr>
      <w:pStyle w:val="Piedepgina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43B30" w14:textId="77777777" w:rsidR="00F23227" w:rsidRDefault="00F23227" w:rsidP="00DD610F">
      <w:r>
        <w:separator/>
      </w:r>
    </w:p>
  </w:footnote>
  <w:footnote w:type="continuationSeparator" w:id="0">
    <w:p w14:paraId="5BEF1432" w14:textId="77777777" w:rsidR="00F23227" w:rsidRDefault="00F23227" w:rsidP="00DD6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554B4" w14:textId="77777777" w:rsidR="00DD610F" w:rsidRDefault="00000000">
    <w:pPr>
      <w:pStyle w:val="Encabezado"/>
    </w:pPr>
    <w:r>
      <w:rPr>
        <w:noProof/>
      </w:rPr>
      <w:pict w14:anchorId="23120FC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61985" o:spid="_x0000_s1026" type="#_x0000_t136" style="position:absolute;margin-left:0;margin-top:0;width:650.65pt;height:68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OPIA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="997" w:tblpY="728"/>
      <w:tblOverlap w:val="never"/>
      <w:tblW w:w="10201" w:type="dxa"/>
      <w:tblInd w:w="0" w:type="dxa"/>
      <w:tblCellMar>
        <w:top w:w="10" w:type="dxa"/>
        <w:left w:w="4" w:type="dxa"/>
        <w:right w:w="62" w:type="dxa"/>
      </w:tblCellMar>
      <w:tblLook w:val="04A0" w:firstRow="1" w:lastRow="0" w:firstColumn="1" w:lastColumn="0" w:noHBand="0" w:noVBand="1"/>
    </w:tblPr>
    <w:tblGrid>
      <w:gridCol w:w="3114"/>
      <w:gridCol w:w="4252"/>
      <w:gridCol w:w="1136"/>
      <w:gridCol w:w="1699"/>
    </w:tblGrid>
    <w:tr w:rsidR="00B83BE9" w14:paraId="48AE10BD" w14:textId="77777777" w:rsidTr="004B782C">
      <w:trPr>
        <w:trHeight w:val="852"/>
      </w:trPr>
      <w:tc>
        <w:tcPr>
          <w:tcW w:w="311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5B0329B" w14:textId="77777777" w:rsidR="00B83BE9" w:rsidRDefault="00B83BE9" w:rsidP="00B83BE9">
          <w:pPr>
            <w:spacing w:after="46" w:line="252" w:lineRule="auto"/>
          </w:pPr>
          <w:r>
            <w:rPr>
              <w:noProof/>
            </w:rPr>
            <w:drawing>
              <wp:anchor distT="0" distB="0" distL="114300" distR="114300" simplePos="0" relativeHeight="251662336" behindDoc="1" locked="0" layoutInCell="1" allowOverlap="1" wp14:anchorId="26F651B9" wp14:editId="52A9EEBD">
                <wp:simplePos x="0" y="0"/>
                <wp:positionH relativeFrom="column">
                  <wp:posOffset>46990</wp:posOffset>
                </wp:positionH>
                <wp:positionV relativeFrom="paragraph">
                  <wp:posOffset>163830</wp:posOffset>
                </wp:positionV>
                <wp:extent cx="1847850" cy="657225"/>
                <wp:effectExtent l="0" t="0" r="0" b="9525"/>
                <wp:wrapNone/>
                <wp:docPr id="21" name="Imagen 21" descr="Descripción: H:\unnamed[1]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 descr="Descripción: H:\unnamed[1]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7850" cy="6572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 w:hAnsi="Times New Roman"/>
              <w:sz w:val="13"/>
            </w:rPr>
            <w:t xml:space="preserve"> </w:t>
          </w:r>
        </w:p>
        <w:p w14:paraId="53920666" w14:textId="77777777" w:rsidR="00B83BE9" w:rsidRDefault="00B83BE9" w:rsidP="00B83BE9">
          <w:pPr>
            <w:spacing w:line="252" w:lineRule="auto"/>
            <w:ind w:left="517"/>
            <w:rPr>
              <w:color w:val="00000A"/>
            </w:rPr>
          </w:pPr>
          <w:r>
            <w:rPr>
              <w:rFonts w:ascii="Times New Roman" w:hAnsi="Times New Roman"/>
            </w:rPr>
            <w:t xml:space="preserve"> </w:t>
          </w:r>
        </w:p>
      </w:tc>
      <w:tc>
        <w:tcPr>
          <w:tcW w:w="425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40C69B2" w14:textId="77777777" w:rsidR="00B83BE9" w:rsidRPr="00B83BE9" w:rsidRDefault="00B83BE9" w:rsidP="00B83BE9">
          <w:pPr>
            <w:pStyle w:val="Encabezado"/>
            <w:jc w:val="center"/>
            <w:rPr>
              <w:rFonts w:ascii="Arial" w:hAnsi="Arial" w:cs="Arial"/>
              <w:b/>
              <w:sz w:val="20"/>
            </w:rPr>
          </w:pPr>
        </w:p>
        <w:p w14:paraId="56086B30" w14:textId="2F80D643" w:rsidR="00B83BE9" w:rsidRPr="00B83BE9" w:rsidRDefault="00B83BE9" w:rsidP="00B83BE9">
          <w:pPr>
            <w:pStyle w:val="Encabezado"/>
            <w:jc w:val="center"/>
            <w:rPr>
              <w:rFonts w:ascii="Arial" w:hAnsi="Arial" w:cs="Arial"/>
            </w:rPr>
          </w:pPr>
          <w:r w:rsidRPr="00B83BE9">
            <w:rPr>
              <w:rFonts w:ascii="Arial" w:eastAsiaTheme="minorHAnsi" w:hAnsi="Arial" w:cs="Arial"/>
              <w:b/>
              <w:sz w:val="24"/>
              <w:szCs w:val="22"/>
              <w:lang w:val="es-CO" w:eastAsia="en-US"/>
            </w:rPr>
            <w:t>BITACORA DE CAPACITACION</w:t>
          </w:r>
        </w:p>
      </w:tc>
      <w:tc>
        <w:tcPr>
          <w:tcW w:w="113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C04F3CC" w14:textId="77777777" w:rsidR="00B83BE9" w:rsidRPr="00B83BE9" w:rsidRDefault="00B83BE9" w:rsidP="00B83BE9">
          <w:pPr>
            <w:spacing w:after="82" w:line="252" w:lineRule="auto"/>
            <w:rPr>
              <w:rFonts w:ascii="Arial" w:hAnsi="Arial" w:cs="Arial"/>
            </w:rPr>
          </w:pPr>
          <w:r w:rsidRPr="00B83BE9">
            <w:rPr>
              <w:rFonts w:ascii="Arial" w:hAnsi="Arial" w:cs="Arial"/>
            </w:rPr>
            <w:t xml:space="preserve"> </w:t>
          </w:r>
        </w:p>
        <w:p w14:paraId="0509870B" w14:textId="77777777" w:rsidR="00B83BE9" w:rsidRPr="00B83BE9" w:rsidRDefault="00B83BE9" w:rsidP="00B83BE9">
          <w:pPr>
            <w:spacing w:line="252" w:lineRule="auto"/>
            <w:ind w:left="85"/>
            <w:jc w:val="center"/>
            <w:rPr>
              <w:rFonts w:ascii="Arial" w:hAnsi="Arial" w:cs="Arial"/>
            </w:rPr>
          </w:pPr>
          <w:r w:rsidRPr="00B83BE9">
            <w:rPr>
              <w:rFonts w:ascii="Arial" w:hAnsi="Arial" w:cs="Arial"/>
              <w:sz w:val="18"/>
            </w:rPr>
            <w:t xml:space="preserve">Versión: 1 </w:t>
          </w:r>
        </w:p>
      </w:tc>
      <w:tc>
        <w:tcPr>
          <w:tcW w:w="169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98E71BC" w14:textId="189037E1" w:rsidR="00B83BE9" w:rsidRPr="00B83BE9" w:rsidRDefault="00B83BE9" w:rsidP="00B83BE9">
          <w:pPr>
            <w:spacing w:line="252" w:lineRule="auto"/>
            <w:ind w:right="54"/>
            <w:jc w:val="center"/>
            <w:rPr>
              <w:rFonts w:ascii="Arial" w:hAnsi="Arial" w:cs="Arial"/>
            </w:rPr>
          </w:pPr>
          <w:r w:rsidRPr="00B83BE9">
            <w:rPr>
              <w:rFonts w:ascii="Arial" w:hAnsi="Arial" w:cs="Arial"/>
              <w:sz w:val="20"/>
            </w:rPr>
            <w:t>FO-TH-46</w:t>
          </w:r>
        </w:p>
      </w:tc>
    </w:tr>
    <w:tr w:rsidR="00B83BE9" w14:paraId="54930366" w14:textId="77777777" w:rsidTr="004B782C">
      <w:trPr>
        <w:trHeight w:val="510"/>
      </w:trPr>
      <w:tc>
        <w:tcPr>
          <w:tcW w:w="311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8C4FB86" w14:textId="77777777" w:rsidR="00B83BE9" w:rsidRDefault="00B83BE9" w:rsidP="00B83BE9">
          <w:pPr>
            <w:rPr>
              <w:color w:val="00000A"/>
            </w:rPr>
          </w:pPr>
        </w:p>
      </w:tc>
      <w:tc>
        <w:tcPr>
          <w:tcW w:w="425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7F22DDB" w14:textId="551DC0D2" w:rsidR="00B83BE9" w:rsidRPr="00B83BE9" w:rsidRDefault="00B83BE9" w:rsidP="00B83BE9">
          <w:pPr>
            <w:spacing w:after="6" w:line="252" w:lineRule="auto"/>
            <w:jc w:val="center"/>
            <w:rPr>
              <w:rFonts w:ascii="Arial" w:hAnsi="Arial" w:cs="Arial"/>
            </w:rPr>
          </w:pPr>
          <w:r w:rsidRPr="00B83BE9">
            <w:rPr>
              <w:rFonts w:ascii="Arial" w:eastAsiaTheme="minorHAnsi" w:hAnsi="Arial" w:cs="Arial"/>
              <w:b/>
              <w:szCs w:val="22"/>
              <w:lang w:val="es-CO" w:eastAsia="en-US"/>
            </w:rPr>
            <w:t>PROCESO</w:t>
          </w:r>
          <w:r w:rsidRPr="00B83BE9">
            <w:rPr>
              <w:rFonts w:ascii="Arial" w:eastAsiaTheme="minorHAnsi" w:hAnsi="Arial" w:cs="Arial"/>
              <w:szCs w:val="22"/>
              <w:lang w:val="es-CO" w:eastAsia="en-US"/>
            </w:rPr>
            <w:t>: TALENTO HUMANO</w:t>
          </w:r>
        </w:p>
      </w:tc>
      <w:tc>
        <w:tcPr>
          <w:tcW w:w="283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0D5ECCC" w14:textId="77777777" w:rsidR="00B83BE9" w:rsidRPr="00B83BE9" w:rsidRDefault="00B83BE9" w:rsidP="00B83BE9">
          <w:pPr>
            <w:spacing w:after="7" w:line="252" w:lineRule="auto"/>
            <w:rPr>
              <w:rFonts w:ascii="Arial" w:hAnsi="Arial" w:cs="Arial"/>
            </w:rPr>
          </w:pPr>
          <w:r w:rsidRPr="00B83BE9">
            <w:rPr>
              <w:rFonts w:ascii="Arial" w:hAnsi="Arial" w:cs="Arial"/>
              <w:sz w:val="15"/>
            </w:rPr>
            <w:t xml:space="preserve"> </w:t>
          </w:r>
        </w:p>
        <w:p w14:paraId="69EA1776" w14:textId="77777777" w:rsidR="00B83BE9" w:rsidRPr="00B83BE9" w:rsidRDefault="00B83BE9" w:rsidP="00B83BE9">
          <w:pPr>
            <w:spacing w:line="252" w:lineRule="auto"/>
            <w:ind w:right="28"/>
            <w:jc w:val="center"/>
            <w:rPr>
              <w:rFonts w:ascii="Arial" w:hAnsi="Arial" w:cs="Arial"/>
            </w:rPr>
          </w:pPr>
          <w:r w:rsidRPr="00B83BE9">
            <w:rPr>
              <w:rFonts w:ascii="Arial" w:hAnsi="Arial" w:cs="Arial"/>
              <w:sz w:val="18"/>
            </w:rPr>
            <w:t xml:space="preserve">Página </w:t>
          </w:r>
          <w:r w:rsidRPr="00B83BE9">
            <w:rPr>
              <w:rFonts w:ascii="Arial" w:hAnsi="Arial" w:cs="Arial"/>
              <w:sz w:val="18"/>
            </w:rPr>
            <w:fldChar w:fldCharType="begin"/>
          </w:r>
          <w:r w:rsidRPr="00B83BE9">
            <w:rPr>
              <w:rFonts w:ascii="Arial" w:hAnsi="Arial" w:cs="Arial"/>
              <w:sz w:val="18"/>
            </w:rPr>
            <w:instrText xml:space="preserve"> PAGE   \* MERGEFORMAT </w:instrText>
          </w:r>
          <w:r w:rsidRPr="00B83BE9">
            <w:rPr>
              <w:rFonts w:ascii="Arial" w:hAnsi="Arial" w:cs="Arial"/>
              <w:sz w:val="18"/>
            </w:rPr>
            <w:fldChar w:fldCharType="separate"/>
          </w:r>
          <w:r>
            <w:rPr>
              <w:rFonts w:ascii="Arial" w:hAnsi="Arial" w:cs="Arial"/>
              <w:noProof/>
              <w:sz w:val="18"/>
            </w:rPr>
            <w:t>1</w:t>
          </w:r>
          <w:r w:rsidRPr="00B83BE9">
            <w:rPr>
              <w:rFonts w:ascii="Arial" w:hAnsi="Arial" w:cs="Arial"/>
              <w:sz w:val="18"/>
            </w:rPr>
            <w:fldChar w:fldCharType="end"/>
          </w:r>
          <w:r w:rsidRPr="00B83BE9">
            <w:rPr>
              <w:rFonts w:ascii="Arial" w:hAnsi="Arial" w:cs="Arial"/>
              <w:sz w:val="18"/>
            </w:rPr>
            <w:t xml:space="preserve"> de </w:t>
          </w:r>
          <w:r w:rsidRPr="00B83BE9">
            <w:rPr>
              <w:rFonts w:ascii="Arial" w:hAnsi="Arial" w:cs="Arial"/>
              <w:sz w:val="18"/>
            </w:rPr>
            <w:fldChar w:fldCharType="begin"/>
          </w:r>
          <w:r w:rsidRPr="00B83BE9">
            <w:rPr>
              <w:rFonts w:ascii="Arial" w:hAnsi="Arial" w:cs="Arial"/>
              <w:sz w:val="18"/>
            </w:rPr>
            <w:instrText xml:space="preserve"> NUMPAGES   \* MERGEFORMAT </w:instrText>
          </w:r>
          <w:r w:rsidRPr="00B83BE9">
            <w:rPr>
              <w:rFonts w:ascii="Arial" w:hAnsi="Arial" w:cs="Arial"/>
              <w:sz w:val="18"/>
            </w:rPr>
            <w:fldChar w:fldCharType="separate"/>
          </w:r>
          <w:r>
            <w:rPr>
              <w:rFonts w:ascii="Arial" w:hAnsi="Arial" w:cs="Arial"/>
              <w:noProof/>
              <w:sz w:val="18"/>
            </w:rPr>
            <w:t>1</w:t>
          </w:r>
          <w:r w:rsidRPr="00B83BE9">
            <w:rPr>
              <w:rFonts w:ascii="Arial" w:hAnsi="Arial" w:cs="Arial"/>
              <w:sz w:val="18"/>
            </w:rPr>
            <w:fldChar w:fldCharType="end"/>
          </w:r>
          <w:r w:rsidRPr="00B83BE9">
            <w:rPr>
              <w:rFonts w:ascii="Arial" w:hAnsi="Arial" w:cs="Arial"/>
              <w:sz w:val="18"/>
            </w:rPr>
            <w:t xml:space="preserve"> </w:t>
          </w:r>
        </w:p>
      </w:tc>
    </w:tr>
  </w:tbl>
  <w:p w14:paraId="461D966B" w14:textId="77777777" w:rsidR="00DD610F" w:rsidRDefault="00DD610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817EC" w14:textId="77777777" w:rsidR="00DD610F" w:rsidRDefault="00000000">
    <w:pPr>
      <w:pStyle w:val="Encabezado"/>
    </w:pPr>
    <w:r>
      <w:rPr>
        <w:noProof/>
      </w:rPr>
      <w:pict w14:anchorId="30C6DC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61984" o:spid="_x0000_s1025" type="#_x0000_t136" style="position:absolute;margin-left:0;margin-top:0;width:650.65pt;height:68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OPIA CONTROLAD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37928"/>
    <w:multiLevelType w:val="multilevel"/>
    <w:tmpl w:val="7A0E0F76"/>
    <w:styleLink w:val="Lista31"/>
    <w:lvl w:ilvl="0">
      <w:start w:val="4"/>
      <w:numFmt w:val="bullet"/>
      <w:lvlText w:val="-"/>
      <w:lvlJc w:val="left"/>
      <w:pPr>
        <w:tabs>
          <w:tab w:val="num" w:pos="469"/>
        </w:tabs>
        <w:ind w:left="469" w:hanging="327"/>
      </w:pPr>
      <w:rPr>
        <w:rFonts w:ascii="Arial Narrow" w:eastAsia="Arial Narrow" w:hAnsi="Arial Narrow" w:cs="Arial Narrow"/>
        <w:position w:val="0"/>
        <w:sz w:val="20"/>
        <w:szCs w:val="20"/>
        <w:shd w:val="clear" w:color="auto" w:fill="FFFFFF"/>
        <w:lang w:val="es-ES_tradnl"/>
      </w:rPr>
    </w:lvl>
    <w:lvl w:ilvl="1">
      <w:start w:val="1"/>
      <w:numFmt w:val="bullet"/>
      <w:lvlText w:val="o"/>
      <w:lvlJc w:val="left"/>
      <w:pPr>
        <w:tabs>
          <w:tab w:val="num" w:pos="1117"/>
        </w:tabs>
        <w:ind w:left="111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2">
      <w:start w:val="1"/>
      <w:numFmt w:val="bullet"/>
      <w:lvlText w:val="▪"/>
      <w:lvlJc w:val="left"/>
      <w:pPr>
        <w:tabs>
          <w:tab w:val="num" w:pos="1837"/>
        </w:tabs>
        <w:ind w:left="183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3">
      <w:start w:val="1"/>
      <w:numFmt w:val="bullet"/>
      <w:lvlText w:val="•"/>
      <w:lvlJc w:val="left"/>
      <w:pPr>
        <w:tabs>
          <w:tab w:val="num" w:pos="2557"/>
        </w:tabs>
        <w:ind w:left="255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4">
      <w:start w:val="1"/>
      <w:numFmt w:val="bullet"/>
      <w:lvlText w:val="o"/>
      <w:lvlJc w:val="left"/>
      <w:pPr>
        <w:tabs>
          <w:tab w:val="num" w:pos="3277"/>
        </w:tabs>
        <w:ind w:left="327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5">
      <w:start w:val="1"/>
      <w:numFmt w:val="bullet"/>
      <w:lvlText w:val="▪"/>
      <w:lvlJc w:val="left"/>
      <w:pPr>
        <w:tabs>
          <w:tab w:val="num" w:pos="3997"/>
        </w:tabs>
        <w:ind w:left="399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6">
      <w:start w:val="1"/>
      <w:numFmt w:val="bullet"/>
      <w:lvlText w:val="•"/>
      <w:lvlJc w:val="left"/>
      <w:pPr>
        <w:tabs>
          <w:tab w:val="num" w:pos="4717"/>
        </w:tabs>
        <w:ind w:left="471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7">
      <w:start w:val="1"/>
      <w:numFmt w:val="bullet"/>
      <w:lvlText w:val="o"/>
      <w:lvlJc w:val="left"/>
      <w:pPr>
        <w:tabs>
          <w:tab w:val="num" w:pos="5437"/>
        </w:tabs>
        <w:ind w:left="543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8">
      <w:start w:val="1"/>
      <w:numFmt w:val="bullet"/>
      <w:lvlText w:val="▪"/>
      <w:lvlJc w:val="left"/>
      <w:pPr>
        <w:tabs>
          <w:tab w:val="num" w:pos="6157"/>
        </w:tabs>
        <w:ind w:left="615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</w:abstractNum>
  <w:abstractNum w:abstractNumId="1" w15:restartNumberingAfterBreak="0">
    <w:nsid w:val="09BF28B1"/>
    <w:multiLevelType w:val="hybridMultilevel"/>
    <w:tmpl w:val="74D6D40C"/>
    <w:lvl w:ilvl="0" w:tplc="0C0A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3E14A3F"/>
    <w:multiLevelType w:val="multilevel"/>
    <w:tmpl w:val="4EC43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2F187E"/>
    <w:multiLevelType w:val="hybridMultilevel"/>
    <w:tmpl w:val="B994FD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0B110D"/>
    <w:multiLevelType w:val="hybridMultilevel"/>
    <w:tmpl w:val="C6AAE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33FF4"/>
    <w:multiLevelType w:val="multilevel"/>
    <w:tmpl w:val="8E304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D8269A"/>
    <w:multiLevelType w:val="hybridMultilevel"/>
    <w:tmpl w:val="46080EE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12396"/>
    <w:multiLevelType w:val="hybridMultilevel"/>
    <w:tmpl w:val="CAEA2E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110AA"/>
    <w:multiLevelType w:val="hybridMultilevel"/>
    <w:tmpl w:val="998C024E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C95574"/>
    <w:multiLevelType w:val="multilevel"/>
    <w:tmpl w:val="2102C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6AD0F27"/>
    <w:multiLevelType w:val="multilevel"/>
    <w:tmpl w:val="E9C49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8C39F4"/>
    <w:multiLevelType w:val="hybridMultilevel"/>
    <w:tmpl w:val="A53EE424"/>
    <w:lvl w:ilvl="0" w:tplc="6DB0702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80285A"/>
    <w:multiLevelType w:val="hybridMultilevel"/>
    <w:tmpl w:val="0EE23C1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4B23091"/>
    <w:multiLevelType w:val="multilevel"/>
    <w:tmpl w:val="AE4C47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5D65BCB"/>
    <w:multiLevelType w:val="multilevel"/>
    <w:tmpl w:val="84843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5DC5ABA"/>
    <w:multiLevelType w:val="hybridMultilevel"/>
    <w:tmpl w:val="A8FE9A6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6D23B4B"/>
    <w:multiLevelType w:val="hybridMultilevel"/>
    <w:tmpl w:val="E1CE4A9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81871895">
    <w:abstractNumId w:val="1"/>
  </w:num>
  <w:num w:numId="2" w16cid:durableId="1261984888">
    <w:abstractNumId w:val="12"/>
  </w:num>
  <w:num w:numId="3" w16cid:durableId="709109276">
    <w:abstractNumId w:val="16"/>
  </w:num>
  <w:num w:numId="4" w16cid:durableId="805389966">
    <w:abstractNumId w:val="6"/>
  </w:num>
  <w:num w:numId="5" w16cid:durableId="1468819389">
    <w:abstractNumId w:val="8"/>
  </w:num>
  <w:num w:numId="6" w16cid:durableId="1233200817">
    <w:abstractNumId w:val="0"/>
  </w:num>
  <w:num w:numId="7" w16cid:durableId="745961457">
    <w:abstractNumId w:val="15"/>
  </w:num>
  <w:num w:numId="8" w16cid:durableId="1156998934">
    <w:abstractNumId w:val="13"/>
  </w:num>
  <w:num w:numId="9" w16cid:durableId="508451999">
    <w:abstractNumId w:val="3"/>
  </w:num>
  <w:num w:numId="10" w16cid:durableId="1545408405">
    <w:abstractNumId w:val="11"/>
  </w:num>
  <w:num w:numId="11" w16cid:durableId="498154516">
    <w:abstractNumId w:val="4"/>
  </w:num>
  <w:num w:numId="12" w16cid:durableId="1049105791">
    <w:abstractNumId w:val="7"/>
  </w:num>
  <w:num w:numId="13" w16cid:durableId="1951551949">
    <w:abstractNumId w:val="10"/>
  </w:num>
  <w:num w:numId="14" w16cid:durableId="1749884296">
    <w:abstractNumId w:val="14"/>
  </w:num>
  <w:num w:numId="15" w16cid:durableId="1250577030">
    <w:abstractNumId w:val="2"/>
  </w:num>
  <w:num w:numId="16" w16cid:durableId="1202936662">
    <w:abstractNumId w:val="9"/>
  </w:num>
  <w:num w:numId="17" w16cid:durableId="13583143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CO" w:vendorID="64" w:dllVersion="6" w:nlCheck="1" w:checkStyle="0"/>
  <w:activeWritingStyle w:appName="MSWord" w:lang="es-MX" w:vendorID="64" w:dllVersion="6" w:nlCheck="1" w:checkStyle="1"/>
  <w:activeWritingStyle w:appName="MSWord" w:lang="en-US" w:vendorID="64" w:dllVersion="6" w:nlCheck="1" w:checkStyle="1"/>
  <w:activeWritingStyle w:appName="MSWord" w:lang="es-ES_tradnl" w:vendorID="64" w:dllVersion="6" w:nlCheck="1" w:checkStyle="1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s-MX" w:vendorID="64" w:dllVersion="4096" w:nlCheck="1" w:checkStyle="0"/>
  <w:activeWritingStyle w:appName="MSWord" w:lang="es-C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10F"/>
    <w:rsid w:val="00004DAA"/>
    <w:rsid w:val="0002218A"/>
    <w:rsid w:val="000502FB"/>
    <w:rsid w:val="0006516C"/>
    <w:rsid w:val="00066049"/>
    <w:rsid w:val="00066568"/>
    <w:rsid w:val="00086DE9"/>
    <w:rsid w:val="00087982"/>
    <w:rsid w:val="000924E4"/>
    <w:rsid w:val="000B4866"/>
    <w:rsid w:val="001040F2"/>
    <w:rsid w:val="00125F9C"/>
    <w:rsid w:val="00131217"/>
    <w:rsid w:val="00177308"/>
    <w:rsid w:val="00193985"/>
    <w:rsid w:val="001C6647"/>
    <w:rsid w:val="001E328C"/>
    <w:rsid w:val="0021336F"/>
    <w:rsid w:val="0024139D"/>
    <w:rsid w:val="00261530"/>
    <w:rsid w:val="0026296C"/>
    <w:rsid w:val="00275C3B"/>
    <w:rsid w:val="0029302E"/>
    <w:rsid w:val="002A71A5"/>
    <w:rsid w:val="002E0171"/>
    <w:rsid w:val="002E0ADB"/>
    <w:rsid w:val="002E264F"/>
    <w:rsid w:val="002F48A2"/>
    <w:rsid w:val="00315B83"/>
    <w:rsid w:val="00323A9F"/>
    <w:rsid w:val="0033620F"/>
    <w:rsid w:val="00371EEF"/>
    <w:rsid w:val="00380FD0"/>
    <w:rsid w:val="003830CB"/>
    <w:rsid w:val="003A5618"/>
    <w:rsid w:val="003A7442"/>
    <w:rsid w:val="003B0BCA"/>
    <w:rsid w:val="003B27D7"/>
    <w:rsid w:val="003C3B71"/>
    <w:rsid w:val="003C73DE"/>
    <w:rsid w:val="0040450C"/>
    <w:rsid w:val="00414DD9"/>
    <w:rsid w:val="0043094E"/>
    <w:rsid w:val="004367B5"/>
    <w:rsid w:val="004532A2"/>
    <w:rsid w:val="0047066F"/>
    <w:rsid w:val="00475091"/>
    <w:rsid w:val="00480FA5"/>
    <w:rsid w:val="00483F01"/>
    <w:rsid w:val="00496ADA"/>
    <w:rsid w:val="004D681E"/>
    <w:rsid w:val="005012FE"/>
    <w:rsid w:val="0054499F"/>
    <w:rsid w:val="005657B0"/>
    <w:rsid w:val="0057354E"/>
    <w:rsid w:val="005A1B57"/>
    <w:rsid w:val="005D21E1"/>
    <w:rsid w:val="005D5CA9"/>
    <w:rsid w:val="00627767"/>
    <w:rsid w:val="00650E05"/>
    <w:rsid w:val="00670D09"/>
    <w:rsid w:val="00676718"/>
    <w:rsid w:val="006836DF"/>
    <w:rsid w:val="006A0BCC"/>
    <w:rsid w:val="006D6C0E"/>
    <w:rsid w:val="006E2674"/>
    <w:rsid w:val="006F13DC"/>
    <w:rsid w:val="0070667C"/>
    <w:rsid w:val="00764A2B"/>
    <w:rsid w:val="007707C5"/>
    <w:rsid w:val="0078384A"/>
    <w:rsid w:val="00790F7B"/>
    <w:rsid w:val="0079430E"/>
    <w:rsid w:val="007A0367"/>
    <w:rsid w:val="007A3F4F"/>
    <w:rsid w:val="007A767C"/>
    <w:rsid w:val="007B25B0"/>
    <w:rsid w:val="007B2DDE"/>
    <w:rsid w:val="007D2249"/>
    <w:rsid w:val="00833126"/>
    <w:rsid w:val="00842E99"/>
    <w:rsid w:val="008C7A09"/>
    <w:rsid w:val="008D002B"/>
    <w:rsid w:val="009468D9"/>
    <w:rsid w:val="009546DC"/>
    <w:rsid w:val="00967125"/>
    <w:rsid w:val="009B1EEB"/>
    <w:rsid w:val="009D1958"/>
    <w:rsid w:val="009E41E4"/>
    <w:rsid w:val="00A16AB3"/>
    <w:rsid w:val="00A37DBB"/>
    <w:rsid w:val="00A60AEE"/>
    <w:rsid w:val="00A974B1"/>
    <w:rsid w:val="00AD012A"/>
    <w:rsid w:val="00AD302C"/>
    <w:rsid w:val="00B062F5"/>
    <w:rsid w:val="00B135F5"/>
    <w:rsid w:val="00B60544"/>
    <w:rsid w:val="00B83BE9"/>
    <w:rsid w:val="00BB00A5"/>
    <w:rsid w:val="00BB01EF"/>
    <w:rsid w:val="00BB0D4A"/>
    <w:rsid w:val="00BF05E6"/>
    <w:rsid w:val="00BF7927"/>
    <w:rsid w:val="00C0092D"/>
    <w:rsid w:val="00C3215E"/>
    <w:rsid w:val="00C6734F"/>
    <w:rsid w:val="00C82012"/>
    <w:rsid w:val="00C97006"/>
    <w:rsid w:val="00D20183"/>
    <w:rsid w:val="00D37D9B"/>
    <w:rsid w:val="00D50F35"/>
    <w:rsid w:val="00D70CF9"/>
    <w:rsid w:val="00DA21EC"/>
    <w:rsid w:val="00DA32B8"/>
    <w:rsid w:val="00DB730E"/>
    <w:rsid w:val="00DC695E"/>
    <w:rsid w:val="00DD610F"/>
    <w:rsid w:val="00DE3260"/>
    <w:rsid w:val="00E0646E"/>
    <w:rsid w:val="00E10251"/>
    <w:rsid w:val="00E12D0C"/>
    <w:rsid w:val="00E254AA"/>
    <w:rsid w:val="00E649A2"/>
    <w:rsid w:val="00E97A82"/>
    <w:rsid w:val="00EB7D65"/>
    <w:rsid w:val="00EC6874"/>
    <w:rsid w:val="00ED13AD"/>
    <w:rsid w:val="00EE44E8"/>
    <w:rsid w:val="00EE5089"/>
    <w:rsid w:val="00F11883"/>
    <w:rsid w:val="00F23227"/>
    <w:rsid w:val="00F37081"/>
    <w:rsid w:val="00FA64DB"/>
    <w:rsid w:val="00FB7B76"/>
    <w:rsid w:val="00FC6664"/>
    <w:rsid w:val="00FE5562"/>
    <w:rsid w:val="00FF2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DF7DFD"/>
  <w15:chartTrackingRefBased/>
  <w15:docId w15:val="{079A6240-3E64-45D5-BBE0-9FE14F90F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610F"/>
    <w:pPr>
      <w:spacing w:after="0" w:line="240" w:lineRule="auto"/>
    </w:pPr>
    <w:rPr>
      <w:rFonts w:ascii="Book Antiqua" w:eastAsia="Times New Roman" w:hAnsi="Book Antiqua" w:cs="Times New Roman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4367B5"/>
    <w:pPr>
      <w:keepNext/>
      <w:keepLines/>
      <w:spacing w:before="240" w:line="259" w:lineRule="auto"/>
      <w:jc w:val="both"/>
      <w:outlineLvl w:val="0"/>
    </w:pPr>
    <w:rPr>
      <w:rFonts w:ascii="Arial" w:eastAsiaTheme="majorEastAsia" w:hAnsi="Arial" w:cstheme="majorBidi"/>
      <w:b/>
      <w:sz w:val="24"/>
      <w:szCs w:val="32"/>
      <w:lang w:val="es-CO" w:eastAsia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367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6604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DD610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D610F"/>
    <w:rPr>
      <w:rFonts w:ascii="Book Antiqua" w:eastAsia="Times New Roman" w:hAnsi="Book Antiqua" w:cs="Times New Roman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DD610F"/>
    <w:pPr>
      <w:jc w:val="both"/>
    </w:pPr>
    <w:rPr>
      <w:rFonts w:ascii="Tahoma" w:hAnsi="Tahoma" w:cs="Tahoma"/>
    </w:rPr>
  </w:style>
  <w:style w:type="character" w:customStyle="1" w:styleId="TextoindependienteCar">
    <w:name w:val="Texto independiente Car"/>
    <w:basedOn w:val="Fuentedeprrafopredeter"/>
    <w:link w:val="Textoindependiente"/>
    <w:rsid w:val="00DD610F"/>
    <w:rPr>
      <w:rFonts w:ascii="Tahoma" w:eastAsia="Times New Roman" w:hAnsi="Tahoma" w:cs="Tahoma"/>
      <w:szCs w:val="20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rsid w:val="00DD610F"/>
    <w:pPr>
      <w:ind w:right="-98"/>
      <w:jc w:val="both"/>
    </w:pPr>
    <w:rPr>
      <w:rFonts w:ascii="Tahoma" w:hAnsi="Tahoma" w:cs="Tahoma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DD610F"/>
    <w:rPr>
      <w:rFonts w:ascii="Tahoma" w:eastAsia="Times New Roman" w:hAnsi="Tahoma" w:cs="Tahoma"/>
      <w:szCs w:val="20"/>
      <w:lang w:val="es-ES" w:eastAsia="es-ES"/>
    </w:rPr>
  </w:style>
  <w:style w:type="paragraph" w:customStyle="1" w:styleId="Epgrafe1">
    <w:name w:val="Epígrafe1"/>
    <w:basedOn w:val="Normal"/>
    <w:next w:val="Normal"/>
    <w:qFormat/>
    <w:rsid w:val="00DD610F"/>
    <w:rPr>
      <w:rFonts w:ascii="Arial" w:hAnsi="Arial" w:cs="Arial"/>
      <w:b/>
      <w:bCs/>
      <w:szCs w:val="24"/>
    </w:rPr>
  </w:style>
  <w:style w:type="numbering" w:customStyle="1" w:styleId="Lista31">
    <w:name w:val="Lista 31"/>
    <w:basedOn w:val="Sinlista"/>
    <w:rsid w:val="00DD610F"/>
    <w:pPr>
      <w:numPr>
        <w:numId w:val="6"/>
      </w:numPr>
    </w:pPr>
  </w:style>
  <w:style w:type="paragraph" w:styleId="Piedepgina">
    <w:name w:val="footer"/>
    <w:basedOn w:val="Normal"/>
    <w:link w:val="PiedepginaCar"/>
    <w:uiPriority w:val="99"/>
    <w:unhideWhenUsed/>
    <w:rsid w:val="00DD610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D610F"/>
    <w:rPr>
      <w:rFonts w:ascii="Book Antiqua" w:eastAsia="Times New Roman" w:hAnsi="Book Antiqua" w:cs="Times New Roman"/>
      <w:szCs w:val="20"/>
      <w:lang w:val="es-ES" w:eastAsia="es-ES"/>
    </w:rPr>
  </w:style>
  <w:style w:type="table" w:styleId="Tablaconcuadrcula">
    <w:name w:val="Table Grid"/>
    <w:basedOn w:val="Tablanormal"/>
    <w:uiPriority w:val="39"/>
    <w:rsid w:val="00DD61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A0367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39"/>
    <w:rsid w:val="00125F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39"/>
    <w:rsid w:val="00125F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4367B5"/>
    <w:rPr>
      <w:rFonts w:ascii="Arial" w:eastAsiaTheme="majorEastAsia" w:hAnsi="Arial" w:cstheme="majorBidi"/>
      <w:b/>
      <w:sz w:val="24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367B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 w:eastAsia="es-ES"/>
    </w:rPr>
  </w:style>
  <w:style w:type="character" w:styleId="Nmerodepgina">
    <w:name w:val="page number"/>
    <w:basedOn w:val="Fuentedeprrafopredeter"/>
    <w:uiPriority w:val="99"/>
    <w:unhideWhenUsed/>
    <w:rsid w:val="002E264F"/>
  </w:style>
  <w:style w:type="table" w:customStyle="1" w:styleId="TableGrid">
    <w:name w:val="TableGrid"/>
    <w:rsid w:val="00B83BE9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3Car">
    <w:name w:val="Título 3 Car"/>
    <w:basedOn w:val="Fuentedeprrafopredeter"/>
    <w:link w:val="Ttulo3"/>
    <w:uiPriority w:val="9"/>
    <w:semiHidden/>
    <w:rsid w:val="0006604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06604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CO" w:eastAsia="es-CO"/>
    </w:rPr>
  </w:style>
  <w:style w:type="character" w:styleId="Fuerte">
    <w:name w:val="Strong"/>
    <w:basedOn w:val="Fuentedeprrafopredeter"/>
    <w:uiPriority w:val="22"/>
    <w:qFormat/>
    <w:rsid w:val="000660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4</Pages>
  <Words>565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Alejandra Rodriguez</dc:creator>
  <cp:keywords/>
  <dc:description/>
  <cp:lastModifiedBy>SALOME HENAO QUINTERO</cp:lastModifiedBy>
  <cp:revision>9</cp:revision>
  <cp:lastPrinted>2021-01-19T18:26:00Z</cp:lastPrinted>
  <dcterms:created xsi:type="dcterms:W3CDTF">2026-02-10T16:45:00Z</dcterms:created>
  <dcterms:modified xsi:type="dcterms:W3CDTF">2026-02-12T20:22:00Z</dcterms:modified>
</cp:coreProperties>
</file>